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B22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 w:val="0"/>
          <w:sz w:val="30"/>
          <w:szCs w:val="30"/>
          <w:lang w:val="en-US" w:eastAsia="zh-CN"/>
        </w:rPr>
      </w:pPr>
      <w:bookmarkStart w:id="0" w:name="_Toc155194514"/>
      <w:r>
        <w:rPr>
          <w:rFonts w:hint="eastAsia"/>
          <w:b w:val="0"/>
          <w:sz w:val="30"/>
          <w:szCs w:val="30"/>
        </w:rPr>
        <w:t>评分</w:t>
      </w:r>
      <w:bookmarkEnd w:id="0"/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标准</w:t>
      </w:r>
    </w:p>
    <w:p w14:paraId="34896A5C">
      <w:pPr>
        <w:ind w:firstLine="422" w:firstLineChars="200"/>
        <w:rPr>
          <w:rFonts w:hint="eastAsia" w:hAnsi="宋体" w:cs="宋体"/>
          <w:b/>
          <w:bCs/>
          <w:szCs w:val="21"/>
        </w:rPr>
      </w:pPr>
      <w:r>
        <w:rPr>
          <w:rFonts w:hint="eastAsia" w:hAnsi="宋体" w:cs="宋体"/>
          <w:b/>
          <w:bCs/>
          <w:szCs w:val="21"/>
        </w:rPr>
        <w:t>一、评标原则</w:t>
      </w:r>
    </w:p>
    <w:p w14:paraId="178EF130">
      <w:pPr>
        <w:ind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（一）评委构成：5人。中心纪检组安排一人进行全程监督。</w:t>
      </w:r>
    </w:p>
    <w:p w14:paraId="23A6B7E4">
      <w:pPr>
        <w:ind w:firstLine="420" w:firstLineChars="200"/>
        <w:rPr>
          <w:rFonts w:hint="eastAsia" w:hAnsi="宋体" w:cs="宋体"/>
          <w:color w:val="auto"/>
          <w:szCs w:val="21"/>
        </w:rPr>
      </w:pPr>
      <w:r>
        <w:rPr>
          <w:rFonts w:hint="eastAsia" w:hAnsi="宋体" w:cs="宋体"/>
          <w:szCs w:val="21"/>
        </w:rPr>
        <w:t>（二）评标依据：委将以</w:t>
      </w:r>
      <w:r>
        <w:rPr>
          <w:rFonts w:hint="eastAsia" w:hAnsi="宋体" w:cs="宋体"/>
          <w:color w:val="auto"/>
          <w:szCs w:val="21"/>
        </w:rPr>
        <w:t>招投标文件为评标依据，对投标人的投标报价，技术，服务方案，售后服务，信誉及业绩等内容按百分制打分。其中价格分</w:t>
      </w:r>
      <w:r>
        <w:rPr>
          <w:rFonts w:hint="eastAsia" w:hAnsi="宋体" w:cs="宋体"/>
          <w:color w:val="auto"/>
          <w:szCs w:val="21"/>
          <w:lang w:val="en-US" w:eastAsia="zh-CN"/>
        </w:rPr>
        <w:t>20</w:t>
      </w:r>
      <w:r>
        <w:rPr>
          <w:rFonts w:hint="eastAsia" w:hAnsi="宋体" w:cs="宋体"/>
          <w:color w:val="auto"/>
          <w:szCs w:val="21"/>
        </w:rPr>
        <w:t>分；技术分20分，服务方案分</w:t>
      </w:r>
      <w:r>
        <w:rPr>
          <w:rFonts w:hint="eastAsia" w:hAnsi="宋体" w:cs="宋体"/>
          <w:color w:val="auto"/>
          <w:szCs w:val="21"/>
          <w:lang w:val="en-US" w:eastAsia="zh-CN"/>
        </w:rPr>
        <w:t>25</w:t>
      </w:r>
      <w:r>
        <w:rPr>
          <w:rFonts w:hint="eastAsia" w:hAnsi="宋体" w:cs="宋体"/>
          <w:color w:val="auto"/>
          <w:szCs w:val="21"/>
        </w:rPr>
        <w:t>分，售后服务分</w:t>
      </w:r>
      <w:r>
        <w:rPr>
          <w:rFonts w:hint="eastAsia" w:hAnsi="宋体" w:cs="宋体"/>
          <w:color w:val="auto"/>
          <w:szCs w:val="21"/>
          <w:lang w:val="en-US" w:eastAsia="zh-CN"/>
        </w:rPr>
        <w:t>25</w:t>
      </w:r>
      <w:r>
        <w:rPr>
          <w:rFonts w:hint="eastAsia" w:hAnsi="宋体" w:cs="宋体"/>
          <w:color w:val="auto"/>
          <w:szCs w:val="21"/>
        </w:rPr>
        <w:t>分，信誉及业绩分</w:t>
      </w:r>
      <w:r>
        <w:rPr>
          <w:rFonts w:hint="eastAsia" w:hAnsi="宋体" w:cs="宋体"/>
          <w:color w:val="auto"/>
          <w:szCs w:val="21"/>
          <w:lang w:val="en-US" w:eastAsia="zh-CN"/>
        </w:rPr>
        <w:t>10</w:t>
      </w:r>
      <w:r>
        <w:rPr>
          <w:rFonts w:hint="eastAsia" w:hAnsi="宋体" w:cs="宋体"/>
          <w:color w:val="auto"/>
          <w:szCs w:val="21"/>
        </w:rPr>
        <w:t>分。</w:t>
      </w:r>
    </w:p>
    <w:p w14:paraId="3F8E3FF5">
      <w:pPr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（三）评标方式：以封闭方式进行。</w:t>
      </w:r>
    </w:p>
    <w:p w14:paraId="003C4D3F">
      <w:pPr>
        <w:ind w:firstLine="422" w:firstLineChars="200"/>
        <w:rPr>
          <w:rFonts w:hint="eastAsia" w:hAnsi="宋体" w:cs="宋体"/>
          <w:b/>
          <w:bCs/>
          <w:szCs w:val="21"/>
        </w:rPr>
      </w:pPr>
      <w:r>
        <w:rPr>
          <w:rFonts w:hint="eastAsia" w:hAnsi="宋体" w:cs="宋体"/>
          <w:b/>
          <w:bCs/>
          <w:szCs w:val="21"/>
        </w:rPr>
        <w:t>二、评标方法</w:t>
      </w:r>
    </w:p>
    <w:p w14:paraId="3AB7BDC4">
      <w:pPr>
        <w:ind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（一）对进入详评的，采用百分制综合评分法。</w:t>
      </w:r>
    </w:p>
    <w:p w14:paraId="3819CAB4"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hAnsi="宋体" w:cs="宋体"/>
          <w:szCs w:val="21"/>
        </w:rPr>
        <w:t>（二）计分办法（按四舍五入取至百分位）</w:t>
      </w:r>
      <w:r>
        <w:rPr>
          <w:rFonts w:hint="eastAsia" w:hAnsi="宋体" w:cs="宋体"/>
          <w:szCs w:val="21"/>
          <w:lang w:eastAsia="zh-CN"/>
        </w:rPr>
        <w:t>。</w:t>
      </w:r>
    </w:p>
    <w:p w14:paraId="2B1E6F0E">
      <w:pPr>
        <w:rPr>
          <w:rFonts w:hint="eastAsia" w:hAnsi="宋体" w:cs="宋体"/>
          <w:szCs w:val="21"/>
          <w:lang w:val="en-US" w:eastAsia="zh-CN"/>
        </w:rPr>
      </w:pPr>
    </w:p>
    <w:tbl>
      <w:tblPr>
        <w:tblStyle w:val="5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88"/>
        <w:gridCol w:w="7542"/>
        <w:gridCol w:w="641"/>
      </w:tblGrid>
      <w:tr w14:paraId="27B5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CBC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B84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评审因素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CE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 w:bidi="ar"/>
              </w:rPr>
              <w:t>评审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内容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931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分值</w:t>
            </w:r>
          </w:p>
        </w:tc>
      </w:tr>
      <w:tr w14:paraId="3E87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456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4D4C"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价格分</w:t>
            </w:r>
          </w:p>
          <w:p w14:paraId="19A0B5E1"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（20分）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09698"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（1）评标基准价：以进入评审的最低报价为评标基准价10分。</w:t>
            </w:r>
          </w:p>
          <w:p w14:paraId="149A2883">
            <w:pPr>
              <w:spacing w:line="360" w:lineRule="auto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（2）计分方法：某供应商价格分 = 供应商最低评标报价（金额）/评标基准价（金额）× 10分</w:t>
            </w:r>
          </w:p>
          <w:p w14:paraId="08FB5253">
            <w:pPr>
              <w:pStyle w:val="4"/>
              <w:spacing w:before="0" w:beforeAutospacing="0" w:after="0" w:afterAutospacing="0" w:line="400" w:lineRule="exact"/>
              <w:ind w:firstLine="1050" w:firstLineChars="500"/>
              <w:jc w:val="both"/>
              <w:rPr>
                <w:rFonts w:hint="eastAsia"/>
                <w:bCs/>
                <w:sz w:val="21"/>
                <w:szCs w:val="2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6EB6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4520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9951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32FF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产品型号与技术参数（满分20分）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525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完全满足招标文件要求得满分；</w:t>
            </w:r>
          </w:p>
          <w:p w14:paraId="76792D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关键参数负偏离每项扣2分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5E7B61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其他参数负偏离每项扣1分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‌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1AD8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229E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1300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1ADA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服务方案（满分25分）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D68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由评委在相应档次内独立打分，不满足一档要求的，得0分。</w:t>
            </w:r>
          </w:p>
          <w:p w14:paraId="5FE6D6DE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一档（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分）：技术实施方案没有明显技术错误，有系统功能配置、有项目执行组织措施、能描述系统技术路线和实施内容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项目执行保障措施，方案描述简单、有一定的针对性。</w:t>
            </w:r>
          </w:p>
          <w:p w14:paraId="30614BA5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  <w:szCs w:val="21"/>
              </w:rPr>
              <w:t>档（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szCs w:val="21"/>
              </w:rPr>
              <w:t>分）：</w:t>
            </w:r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Cs/>
                <w:szCs w:val="21"/>
              </w:rPr>
              <w:t>档基础上</w:t>
            </w:r>
            <w:bookmarkEnd w:id="1"/>
            <w:r>
              <w:rPr>
                <w:rFonts w:hint="eastAsia" w:ascii="宋体" w:hAnsi="宋体" w:cs="宋体"/>
                <w:bCs/>
                <w:szCs w:val="21"/>
              </w:rPr>
              <w:t>，技术实施方案详细可行，对项目总体有深刻认识，充分了解项目现状以及项目需求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</w:rPr>
              <w:t>项目系统架构能保证今后系统升级及系统互联中融入使用；能准确地描述系统结构、技术路线、系统功能配置、符合项目特点。人员配置方案、培训方案、系统运行维护方案等条理清晰，实施目的明确；对项目实际操作有针对性和操作性，符合项目特点。</w:t>
            </w:r>
          </w:p>
          <w:p w14:paraId="7FD6BE10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szCs w:val="21"/>
              </w:rPr>
              <w:t>档（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szCs w:val="21"/>
              </w:rPr>
              <w:t>分）：在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  <w:szCs w:val="21"/>
              </w:rPr>
              <w:t>档基础上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对本项目技术设计详细明确，各系统设备点位布置描述清晰并详细阐述在系统中的作用，涉及综合布线部分描述清晰，符合实施规范，能为后期实施具有指导作用。针对性的结合项目具体情况，对项目实施过程的启动过程、规划过程、执行过程、监控过程、收尾过程均有详细描述；并结合现场实地踏勘的情况，对项目实施过程中的整体管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安全组织措施、现场管理、施工方案、验收管理等均有详细的描述。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配备一名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注册信息安全专业人员渗透测试工程师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CISP-PTE作为项目负责人，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提供相关证书并加盖公章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E115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</w:tr>
      <w:tr w14:paraId="203F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8AFF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DF61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售后服务方案分（满分25分）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2784A">
            <w:pPr>
              <w:pStyle w:val="4"/>
              <w:spacing w:before="0" w:beforeAutospacing="0" w:after="0" w:afterAutospacing="0"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由评委在相应档次内独立打分，不满足一档要求的得0分。</w:t>
            </w:r>
          </w:p>
          <w:p w14:paraId="377DD6A3">
            <w:pPr>
              <w:pStyle w:val="4"/>
              <w:spacing w:before="0" w:beforeAutospacing="0" w:after="0" w:afterAutospacing="0"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一档（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）：售后服务体系、服务内容简单，响应时间不够及时（如项目发生故障，在60分钟维修响应，24小时专业工程师电话服务应答，24个小时内提供解决方案）；服务工作思路基本合理，能够承诺对系统进行定期维护和升级的；</w:t>
            </w:r>
          </w:p>
          <w:p w14:paraId="654FE774">
            <w:pPr>
              <w:pStyle w:val="4"/>
              <w:spacing w:before="0" w:beforeAutospacing="0" w:after="0" w:afterAutospacing="0"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二档（1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）：售后服务体系、服务内容较完善，安排较具体，响应程度良好（如项目发生故障，在40分钟维修响应，8小时专业工程师电话服务应答，12个小时内提供解决方案）；售后服务承诺较完整、有一定针对性，有具体的服务流程说明，服务工作思路清晰合理。</w:t>
            </w:r>
          </w:p>
          <w:p w14:paraId="6C1B8652">
            <w:pPr>
              <w:pStyle w:val="4"/>
              <w:spacing w:before="0" w:beforeAutospacing="0" w:after="0" w:afterAutospacing="0" w:line="36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三档（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分）：售后服务体系、服务内容详细、完善，安排详细具体，内容完整、齐全、可行，响应程度高（如项目发生故障，在20分钟维修响应，2小时内专业工程师电话服务应答，4个小时内提供解决方案）；售后服务承诺全面、合理，预见性及可操作性强，针对性强，服务工作思路全面，且考虑到项目实际情况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需提供一名具有信息系统运行维护工程师证书的售后服务人员，提供相关证书并加盖公章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B19F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</w:tr>
      <w:tr w14:paraId="2512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2A77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F350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信誉及业绩（满分10分）</w:t>
            </w:r>
          </w:p>
        </w:tc>
        <w:tc>
          <w:tcPr>
            <w:tcW w:w="7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0D0B8">
            <w:pPr>
              <w:pStyle w:val="4"/>
              <w:spacing w:before="0" w:beforeAutospacing="0" w:after="0" w:afterAutospacing="0"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供应商自2021年以来承接过与本次采购内容类似项目业绩的，每项得2分，满分10分。在响应文件中提供业绩合同或中标（成交）通知书复印件。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1F79">
            <w:pPr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 w14:paraId="4487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A175F">
            <w:pPr>
              <w:spacing w:line="40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总得分＝1＋2＋3</w:t>
            </w:r>
            <w:r>
              <w:rPr>
                <w:rFonts w:hint="eastAsia" w:ascii="宋体" w:hAnsi="宋体" w:cs="宋体"/>
                <w:b/>
                <w:szCs w:val="21"/>
                <w:lang w:val="en-US" w:eastAsia="zh-CN" w:bidi="ar"/>
              </w:rPr>
              <w:t>+4+5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14C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100</w:t>
            </w:r>
          </w:p>
        </w:tc>
      </w:tr>
    </w:tbl>
    <w:p w14:paraId="131B5057">
      <w:pPr>
        <w:rPr>
          <w:rFonts w:hint="eastAsia" w:hAnsi="宋体" w:cs="宋体"/>
          <w:b/>
          <w:bCs/>
          <w:szCs w:val="21"/>
        </w:rPr>
      </w:pPr>
    </w:p>
    <w:p w14:paraId="78D1A377">
      <w:pPr>
        <w:ind w:firstLine="422" w:firstLineChars="200"/>
        <w:rPr>
          <w:rFonts w:hint="eastAsia" w:hAnsi="宋体" w:cs="宋体"/>
          <w:b/>
          <w:bCs/>
          <w:szCs w:val="21"/>
        </w:rPr>
      </w:pPr>
      <w:r>
        <w:rPr>
          <w:rFonts w:hint="eastAsia" w:hAnsi="宋体" w:cs="宋体"/>
          <w:b/>
          <w:bCs/>
          <w:szCs w:val="21"/>
        </w:rPr>
        <w:t>三、成交候选人推荐原则</w:t>
      </w:r>
    </w:p>
    <w:p w14:paraId="0A21D59E">
      <w:pPr>
        <w:ind w:firstLine="420" w:firstLineChars="200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（1）评标小组将根据得分由高到低排列次序（得分相同时，以报价由低到高顺序排列；得分相同且报价相同的，按技术指标优劣顺序排列；得分、报价、技术分均相同的，按售后服务分由高到低排列并推荐成交候选供应商；得分、报价、技术、售后服务分均相同的，按信誉及业绩分由高到低排列并推荐成交候选供应商）。</w:t>
      </w:r>
    </w:p>
    <w:p w14:paraId="49AAF199">
      <w:pPr>
        <w:ind w:firstLine="420" w:firstLineChars="200"/>
      </w:pPr>
      <w:r>
        <w:rPr>
          <w:rFonts w:hint="eastAsia" w:hAnsi="宋体" w:cs="宋体"/>
          <w:szCs w:val="21"/>
          <w:lang w:val="en-US" w:eastAsia="zh-CN"/>
        </w:rPr>
        <w:t>（2）采购人应当确定小组推荐排名第一的成交候选供应商为成交供应商。排名第一的成交候选供应商放弃成交资格、因不可抗力提出不能履行合同，采购人可以确定排名第二的成交候选供应商为成交供应商。排名第二的成交候选供应商因前款规定的同样原因不能签订合同的，采购人可以确定排名第三的成交候选供应商为成交供应商，其余以此类推。</w:t>
      </w:r>
      <w:bookmarkStart w:id="2" w:name="_GoBack"/>
      <w:bookmarkEnd w:id="2"/>
    </w:p>
    <w:sectPr>
      <w:pgSz w:w="11906" w:h="16838"/>
      <w:pgMar w:top="130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96C54"/>
    <w:multiLevelType w:val="singleLevel"/>
    <w:tmpl w:val="9FE96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2025-03-05T08:34:14Z</dcterms:created>
  <dc:creator>Administrator</dc:creator>
  <cp:lastModifiedBy>Cc。</cp:lastModifiedBy>
  <dcterms:modified xsi:type="dcterms:W3CDTF">2025-03-05T09:27:54Z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eyJoZGlkIjoiZDQyZDY3OGExOTA0NzRkYTg1NWEyNmM3MWE2YmI0ODkiLCJ1c2VySWQiOiIxMDQwMjk4ODkwIn0=</vt:lpwstr>
  </property>
  <property fmtid="{D5CDD505-2E9C-101B-9397-08002B2CF9AE}" pid="4" name="ICV">
    <vt:lpwstr>86AE278DC220461797B505A2CA911558_12</vt:lpwstr>
  </property>
</Properties>
</file>